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TERMO DE REFERÊNCIA - 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LEI 14.133/21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eastAsia="Times New Roman" w:cs="Arial"/>
          <w:b/>
          <w:bCs/>
          <w:iCs/>
          <w:color w:val="000000"/>
          <w:kern w:val="0"/>
          <w:sz w:val="20"/>
          <w:szCs w:val="20"/>
          <w:lang w:val="pt-BR" w:eastAsia="pt-BR" w:bidi="ar-SA"/>
        </w:rPr>
      </w:pP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eastAsia="Times New Roman" w:cs="Arial" w:ascii="Verdana" w:hAnsi="Verdana"/>
          <w:b/>
          <w:bCs/>
          <w:iCs/>
          <w:color w:val="000000"/>
          <w:kern w:val="0"/>
          <w:sz w:val="20"/>
          <w:szCs w:val="20"/>
          <w:lang w:val="pt-BR" w:eastAsia="pt-BR" w:bidi="ar-SA"/>
        </w:rPr>
        <w:t>AQUISIÇÃO/INSTALAÇÃO DE TOLDO PARA CRAS, SEDE DA SECRETARIA DE ASSISTÊNCIA SOCIAL E CADASTRO ÚNICO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sz w:val="20"/>
          <w:szCs w:val="20"/>
        </w:rPr>
        <w:t>003</w:t>
      </w:r>
      <w:r>
        <w:rPr>
          <w:rFonts w:eastAsia="Times New Roman" w:cs="Times New Roman" w:ascii="Verdana" w:hAnsi="Verdana"/>
          <w:b/>
          <w:bCs/>
          <w:sz w:val="20"/>
          <w:szCs w:val="20"/>
        </w:rPr>
        <w:t>165</w:t>
      </w:r>
      <w:r>
        <w:rPr>
          <w:rFonts w:ascii="Verdana" w:hAnsi="Verdana"/>
          <w:b/>
          <w:bCs/>
          <w:sz w:val="20"/>
          <w:szCs w:val="20"/>
        </w:rPr>
        <w:t xml:space="preserve">/2025 de </w:t>
      </w:r>
      <w:r>
        <w:rPr>
          <w:rFonts w:ascii="Verdana" w:hAnsi="Verdana"/>
          <w:b/>
          <w:bCs/>
          <w:sz w:val="20"/>
          <w:szCs w:val="20"/>
        </w:rPr>
        <w:t>30</w:t>
      </w:r>
      <w:r>
        <w:rPr>
          <w:rFonts w:ascii="Verdana" w:hAnsi="Verdana"/>
          <w:b/>
          <w:bCs/>
          <w:sz w:val="20"/>
          <w:szCs w:val="20"/>
        </w:rPr>
        <w:t xml:space="preserve"> de Abril de 2025 – Secretaria Municipal de </w:t>
      </w:r>
      <w:r>
        <w:rPr>
          <w:rFonts w:eastAsia="Times New Roman" w:cs="Times New Roman" w:ascii="Verdana" w:hAnsi="Verdana"/>
          <w:b/>
          <w:bCs/>
          <w:sz w:val="20"/>
          <w:szCs w:val="20"/>
        </w:rPr>
        <w:t>Assistência Social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1. OBJETO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1.1. Constitui objeto do presente Termo de Referência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a a</w:t>
      </w:r>
      <w:r>
        <w:rPr>
          <w:rFonts w:eastAsia="Arial" w:cs="Arial" w:ascii="Verdana" w:hAnsi="Verdana"/>
          <w:b w:val="false"/>
          <w:bCs w:val="false"/>
          <w:iCs/>
          <w:color w:val="auto"/>
          <w:kern w:val="0"/>
          <w:sz w:val="20"/>
          <w:szCs w:val="20"/>
          <w:lang w:val="pt-BR" w:eastAsia="zh-CN" w:bidi="ar-SA"/>
        </w:rPr>
        <w:t xml:space="preserve">quisição/instalação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kern w:val="0"/>
          <w:sz w:val="20"/>
          <w:szCs w:val="20"/>
          <w:lang w:val="pt-BR" w:eastAsia="pt-BR" w:bidi="ar-SA"/>
        </w:rPr>
        <w:t>de toldos para uso no CRAS, Sede da Secretaria de Assistência Social e Cadastro Único, de responsabilidade da Secretaria Municipal de Assistência Social,</w:t>
      </w:r>
      <w:r>
        <w:rPr>
          <w:rFonts w:eastAsia="Arial" w:cs="Arial" w:ascii="Verdana" w:hAnsi="Verdana"/>
          <w:b w:val="false"/>
          <w:bCs w:val="false"/>
          <w:iCs/>
          <w:color w:val="auto"/>
          <w:kern w:val="0"/>
          <w:sz w:val="20"/>
          <w:szCs w:val="20"/>
          <w:lang w:val="pt-BR" w:eastAsia="zh-CN" w:bidi="ar-SA"/>
        </w:rPr>
        <w:t xml:space="preserve"> deste município, </w:t>
      </w:r>
      <w:r>
        <w:rPr>
          <w:rFonts w:cs="Arial" w:ascii="Verdana" w:hAnsi="Verdana"/>
          <w:b w:val="false"/>
          <w:bCs w:val="false"/>
          <w:sz w:val="20"/>
          <w:szCs w:val="20"/>
        </w:rPr>
        <w:t>de acordo com os critérios e condições estabelecidas neste termo de referência, etp e seus anexo</w:t>
      </w:r>
      <w:r>
        <w:rPr>
          <w:rFonts w:cs="Arial" w:ascii="Verdana" w:hAnsi="Verdana"/>
          <w:sz w:val="20"/>
          <w:szCs w:val="20"/>
        </w:rPr>
        <w:t>s.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tbl>
      <w:tblPr>
        <w:tblW w:w="10031" w:type="dxa"/>
        <w:jc w:val="left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00"/>
        <w:gridCol w:w="3905"/>
        <w:gridCol w:w="901"/>
        <w:gridCol w:w="1143"/>
        <w:gridCol w:w="1690"/>
        <w:gridCol w:w="1591"/>
      </w:tblGrid>
      <w:tr>
        <w:trPr/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ITEM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DESCRIÇÃO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UND.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QUANT.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ESTIMADO UNITÁRIO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ESTIMADO TOTAL</w:t>
            </w:r>
          </w:p>
        </w:tc>
      </w:tr>
      <w:tr>
        <w:trPr/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01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TOLDO EM POLICARBONATO FUMÊ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31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1,6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37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1,25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77" w:after="0"/>
              <w:ind w:left="30" w:right="474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DANIEL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787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VILA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 - SÃO GABRIEL DA PALHA/ES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9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9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2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03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9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76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R$ 1.200,00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9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R$ 3.600,00</w:t>
            </w:r>
          </w:p>
        </w:tc>
      </w:tr>
      <w:tr>
        <w:trPr/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rFonts w:ascii="Verdana" w:hAnsi="Verdana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02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30" w:right="36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TOLDO EM POLICARBONATO FUMÊ COM 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28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3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1,8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1,25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5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474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DANIEL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787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VILA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 - SÃO GABRIEL DA PALHA/ES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05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53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R$ 1.299,21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R$ 6.496,05</w:t>
            </w:r>
          </w:p>
        </w:tc>
      </w:tr>
      <w:tr>
        <w:trPr/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03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30" w:right="36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TOLDO EM POLICARBONATO FUMÊ COM 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23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1,5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1,25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rFonts w:ascii="Verdana" w:hAnsi="Verdana"/>
                <w:color w:val="000000"/>
                <w:spacing w:val="-2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30" w:right="474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DANIEL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787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VILA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 - SÃO GABRIEL DA PALHA/ES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99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99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0" w:right="2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99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0" w:right="76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R$ 1.125,00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99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R$ 1.125,00</w:t>
            </w:r>
          </w:p>
        </w:tc>
      </w:tr>
      <w:tr>
        <w:trPr/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04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TOLDO EM POLICARBONATO FUMÊ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31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3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3,0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7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1,25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51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30" w:right="474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DANIEL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787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VILA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 - SÃO GABRIEL DA PALHA/ES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2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22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2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14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R$ 1.743,66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2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R$ 1.743,66</w:t>
            </w:r>
          </w:p>
        </w:tc>
      </w:tr>
      <w:tr>
        <w:trPr>
          <w:trHeight w:val="536" w:hRule="atLeast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05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TOLDO EM POLICARBONATO FUMÊ C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31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2,8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7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1,25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5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1" w:after="0"/>
              <w:ind w:left="30" w:right="474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DANIEL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787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VILA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 - SÃO GABRIEL DA PALHA/ES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02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14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R$ 1.559,01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R$ 3.118,02</w:t>
            </w:r>
          </w:p>
        </w:tc>
      </w:tr>
      <w:tr>
        <w:trPr/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06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143" w:after="0"/>
              <w:ind w:left="30" w:right="36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TOLDO EM POLICARBONATO FUMÊ COM 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27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1,7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3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1,25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36" w:after="0"/>
              <w:ind w:left="30" w:right="0" w:hanging="0"/>
              <w:jc w:val="both"/>
              <w:rPr>
                <w:rFonts w:ascii="Verdana" w:hAnsi="Verdana"/>
                <w:color w:val="000000"/>
                <w:spacing w:val="-2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6" w:after="0"/>
              <w:ind w:left="30" w:right="474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DANIEL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787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VILA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 - SÃO GABRIEL DA PALHA/ES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63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63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2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63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46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R$ 1.275,00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63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R$ 1.275,00</w:t>
            </w:r>
          </w:p>
        </w:tc>
      </w:tr>
      <w:tr>
        <w:trPr/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TOLDO EM POLICARBONATO FUMÊ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3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2,4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1,25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5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474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DANIEL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787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VILA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COMBONI -  SÃO GABRIEL DA PALHA/ES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14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1.403,24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1.403,24</w:t>
            </w:r>
          </w:p>
        </w:tc>
      </w:tr>
      <w:tr>
        <w:trPr/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TOLDO EM POLICARBONATO FUMÊ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31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9,0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37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1,20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80" w:after="0"/>
              <w:ind w:left="30" w:right="892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14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MAIO,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54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BAIRRO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GLÓRIA -  SÃO GABRIEL DA PALHA/ES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2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14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R$ 4.864,08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R$ 4.864,08</w:t>
            </w:r>
          </w:p>
        </w:tc>
      </w:tr>
      <w:tr>
        <w:trPr/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90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43" w:after="0"/>
              <w:ind w:left="30" w:right="36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TOLDO EM POLICARBONATO FUMÊ COM ESTRUTURA EM FERRO GALVANIZADO E PINTURA EPOXI PRETA E MÃO FRANCESA DE FIXAÇÃO (COM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INCLUSÃO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BUCHAS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PARAFUSOS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INSTALAÇÃO NO LOCAL</w:t>
            </w:r>
          </w:p>
          <w:p>
            <w:pPr>
              <w:pStyle w:val="TableParagraph"/>
              <w:widowControl w:val="false"/>
              <w:spacing w:lineRule="auto" w:line="240" w:before="7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MEDIDAS</w:t>
            </w:r>
          </w:p>
          <w:p>
            <w:pPr>
              <w:pStyle w:val="TableParagraph"/>
              <w:widowControl w:val="false"/>
              <w:spacing w:lineRule="auto" w:line="240" w:before="3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COMPRIMENTO: 7,0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16" w:after="0"/>
              <w:ind w:left="30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LARGURA: 0,90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  <w:p>
            <w:pPr>
              <w:pStyle w:val="TableParagraph"/>
              <w:widowControl w:val="false"/>
              <w:spacing w:lineRule="auto" w:line="240" w:before="52" w:after="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30" w:right="36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RUA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MARIA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CELESTE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TOREZANI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STORCH,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S/N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 BAIRRO SÃO VICENTE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31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99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  <w:lang w:val="pt-BR"/>
              </w:rPr>
              <w:t>01</w:t>
            </w:r>
          </w:p>
        </w:tc>
        <w:tc>
          <w:tcPr>
            <w:tcW w:w="16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14" w:right="0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R$ 3.273,90</w:t>
            </w:r>
          </w:p>
        </w:tc>
        <w:tc>
          <w:tcPr>
            <w:tcW w:w="15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pacing w:lineRule="auto" w:line="240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/>
              <w:ind w:left="0" w:right="65" w:hanging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R$ 3.273,90</w:t>
            </w:r>
          </w:p>
        </w:tc>
      </w:tr>
      <w:tr>
        <w:trPr/>
        <w:tc>
          <w:tcPr>
            <w:tcW w:w="100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auto" w:line="240" w:before="46" w:after="0"/>
              <w:ind w:left="2" w:right="33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pacing w:lineRule="auto" w:line="240" w:before="46" w:after="0"/>
              <w:ind w:left="2" w:right="33" w:hanging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VALOR TOTAL ESTIMADO: R$ 26.898,95 (vinte e seis mil oitocentos e noventa e oito reais e noventa e cinco centavos)</w:t>
            </w:r>
          </w:p>
          <w:p>
            <w:pPr>
              <w:pStyle w:val="TableParagraph"/>
              <w:widowControl w:val="false"/>
              <w:spacing w:lineRule="auto" w:line="240" w:before="46" w:after="0"/>
              <w:ind w:left="2" w:right="33" w:hanging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</w:tr>
    </w:tbl>
    <w:p>
      <w:pPr>
        <w:pStyle w:val="ListParagraph"/>
        <w:suppressAutoHyphens w:val="false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suppressAutoHyphens w:val="false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r>
        <w:rPr>
          <w:rFonts w:ascii="Verdana" w:hAnsi="Verdana"/>
          <w:b/>
          <w:bCs/>
          <w:iCs/>
          <w:sz w:val="20"/>
          <w:szCs w:val="20"/>
        </w:rPr>
        <w:t>.</w:t>
      </w:r>
      <w:r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>
      <w:pPr>
        <w:pStyle w:val="ListParagraph"/>
        <w:suppressAutoHyphens w:val="false"/>
        <w:spacing w:lineRule="auto" w:line="240"/>
        <w:ind w:left="-2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shd w:fill="auto" w:val="clear"/>
        </w:rPr>
        <w:t>1.3</w:t>
      </w:r>
      <w:r>
        <w:rPr>
          <w:rFonts w:ascii="Verdana" w:hAnsi="Verdana"/>
          <w:iCs/>
          <w:sz w:val="20"/>
          <w:szCs w:val="20"/>
          <w:shd w:fill="auto" w:val="clear"/>
        </w:rPr>
        <w:t xml:space="preserve">. </w:t>
      </w:r>
      <w:r>
        <w:rPr>
          <w:rFonts w:ascii="Verdana" w:hAnsi="Verdana"/>
          <w:sz w:val="20"/>
          <w:szCs w:val="20"/>
          <w:shd w:fill="auto" w:val="clear"/>
        </w:rPr>
        <w:t>O prazo de vigência da aquisição/instalação será de 30 (trinta) dias, com a entrega em até 15 (quinze) dais após a confirmação de recebimento da autorização de fornecimento emitida pelo Departamento de Compras e Contratos.</w:t>
      </w:r>
    </w:p>
    <w:p>
      <w:pPr>
        <w:pStyle w:val="ListParagraph"/>
        <w:suppressAutoHyphens w:val="false"/>
        <w:spacing w:lineRule="auto" w:line="240"/>
        <w:ind w:left="-22" w:right="0" w:hanging="0"/>
        <w:jc w:val="both"/>
        <w:rPr>
          <w:sz w:val="20"/>
          <w:szCs w:val="20"/>
        </w:rPr>
      </w:pPr>
      <w:r>
        <w:rPr>
          <w:rFonts w:eastAsia="SimSun" w:cs="Arial" w:ascii="Verdana" w:hAnsi="Verdana"/>
          <w:b w:val="false"/>
          <w:bCs w:val="false"/>
          <w:i w:val="false"/>
          <w:iCs w:val="false"/>
          <w:sz w:val="20"/>
          <w:szCs w:val="20"/>
          <w:u w:val="none"/>
          <w:shd w:fill="auto" w:val="clear"/>
        </w:rPr>
        <w:t xml:space="preserve">1.4. O custo estimado total da contratação é de </w:t>
      </w:r>
      <w:r>
        <w:rPr>
          <w:rFonts w:eastAsia="SimSun" w:cs="Arial" w:ascii="Verdana" w:hAnsi="Verdana"/>
          <w:b w:val="false"/>
          <w:bCs w:val="false"/>
          <w:i w:val="false"/>
          <w:iCs w:val="false"/>
          <w:spacing w:val="-5"/>
          <w:sz w:val="20"/>
          <w:szCs w:val="20"/>
          <w:u w:val="none"/>
          <w:shd w:fill="auto" w:val="clear"/>
        </w:rPr>
        <w:t xml:space="preserve"> R$ 26.898,95 (vinte e seis mil oitocentos e noventa e oito reais e noventa e cinco centavos) </w:t>
      </w:r>
      <w:r>
        <w:rPr>
          <w:rFonts w:eastAsia="SimSun" w:cs="Arial" w:ascii="Verdana" w:hAnsi="Verdana"/>
          <w:b w:val="false"/>
          <w:bCs w:val="false"/>
          <w:i w:val="false"/>
          <w:iCs w:val="false"/>
          <w:sz w:val="20"/>
          <w:szCs w:val="20"/>
          <w:u w:val="none"/>
          <w:shd w:fill="auto" w:val="clear"/>
        </w:rPr>
        <w:t>conforme custos unitários apostos nos orçamentos e no quadro comparativo de preços simples em anexo, aquisição por licitação, menor valor.</w:t>
      </w:r>
    </w:p>
    <w:p>
      <w:pPr>
        <w:pStyle w:val="ListParagraph"/>
        <w:suppressAutoHyphens w:val="false"/>
        <w:spacing w:lineRule="auto" w:line="240"/>
        <w:ind w:left="-22" w:right="0" w:hanging="0"/>
        <w:jc w:val="both"/>
        <w:rPr>
          <w:rFonts w:ascii="Verdana" w:hAnsi="Verdana" w:eastAsia="SimSun" w:cs="Arial"/>
          <w:b w:val="false"/>
          <w:bCs w:val="false"/>
          <w:i w:val="false"/>
          <w:i w:val="false"/>
          <w:iCs w:val="false"/>
          <w:sz w:val="20"/>
          <w:szCs w:val="20"/>
          <w:highlight w:val="none"/>
          <w:u w:val="none"/>
          <w:shd w:fill="auto" w:val="clear"/>
        </w:rPr>
      </w:pPr>
      <w:r>
        <w:rPr>
          <w:rFonts w:eastAsia="SimSun" w:cs="Arial" w:ascii="Verdana" w:hAnsi="Verdana"/>
          <w:b w:val="false"/>
          <w:bCs w:val="false"/>
          <w:i w:val="false"/>
          <w:iCs w:val="false"/>
          <w:sz w:val="20"/>
          <w:szCs w:val="20"/>
          <w:u w:val="none"/>
          <w:shd w:fill="auto" w:val="clear"/>
        </w:rPr>
      </w:r>
    </w:p>
    <w:p>
      <w:pPr>
        <w:pStyle w:val="Normal"/>
        <w:spacing w:lineRule="auto" w:line="240"/>
        <w:ind w:left="0" w:right="0" w:hanging="0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2. FUNDAMENTAÇÃO E DESCRIÇÃO DA NECESSIDADE DA CONTRATAÇÃO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2.1.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en-US" w:bidi="ar-SA"/>
        </w:rPr>
        <w:t>A aquisição/instalação dos produtos tem por objetivo atender a demanda do Cadastro Único, formalizada por meio do memorando nº 021/2024, do CRAS formalizada por meio do memorando nº 027/2025 e visando minimizar os danos causados por chuvas e incidência de sol.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sz w:val="20"/>
          <w:szCs w:val="20"/>
        </w:rPr>
      </w:pP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en-US" w:bidi="ar-SA"/>
        </w:rPr>
        <w:t xml:space="preserve">2.2. </w:t>
      </w:r>
      <w:r>
        <w:rPr>
          <w:rFonts w:eastAsia="Calibri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A Secretaria sofre constantemente, em situações de sol e chuva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que adentra às portas e janelas, causando transtornos aos servidores e usuários do local e ocasionando risco de queda no piso molhado.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240" w:before="0" w:after="0"/>
        <w:ind w:left="0" w:right="0" w:hanging="0"/>
        <w:contextualSpacing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2.3. No ano de 2024 foi dada abertura em processo administrativo para aquisição dos mesmos itens, contudo após 02 tentativas de realização de pregão, a licitação foi tida como fracassada.</w:t>
      </w:r>
    </w:p>
    <w:p>
      <w:pPr>
        <w:pStyle w:val="Normal"/>
        <w:spacing w:lineRule="auto" w:line="240" w:before="0" w:after="0"/>
        <w:ind w:left="0" w:righ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 COMO UM TODO CONSIDERANDO O CICLO DE VIDA DO OBJETO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3.1 A solução a ser adotada consiste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na aquisição de toldos para atender as demandas da Secretaria de Assistência Social e Cadastro Único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3.2. 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materiais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deverão ser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entregues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 respeitando as seguintes tarefas: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67"/>
        <w:gridCol w:w="9116"/>
      </w:tblGrid>
      <w:tr>
        <w:trPr/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91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Transporte, logística e instalação dos produtos até o local de entrega;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2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Obedecer o prazo de entrega determinado.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3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Entregar os materiais em prefeitas condições de uso;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4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Arial" w:ascii="Verdana" w:hAnsi="Verdana"/>
                <w:b w:val="false"/>
                <w:bCs w:val="false"/>
                <w:color w:val="000000"/>
                <w:kern w:val="0"/>
                <w:sz w:val="20"/>
                <w:szCs w:val="20"/>
                <w:shd w:fill="auto" w:val="clear"/>
                <w:lang w:val="pt-BR" w:eastAsia="zh-CN" w:bidi="ar-SA"/>
              </w:rPr>
              <w:t>Realizar a troca do produto, em caso de danos, dentro do prazo determinado</w:t>
            </w: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shd w:fill="auto" w:val="clear"/>
              </w:rPr>
              <w:t>;</w:t>
            </w:r>
          </w:p>
        </w:tc>
      </w:tr>
      <w:tr>
        <w:trPr/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shd w:fill="auto" w:val="clear"/>
              </w:rPr>
              <w:t>5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Realizar a montagem e instalação do produto</w:t>
            </w:r>
            <w:r>
              <w:rPr>
                <w:rFonts w:ascii="Verdana" w:hAnsi="Verdana"/>
                <w:sz w:val="20"/>
                <w:szCs w:val="20"/>
                <w:shd w:fill="auto" w:val="clear"/>
              </w:rPr>
              <w:t xml:space="preserve"> nos locais indicados no item 02</w:t>
            </w:r>
          </w:p>
        </w:tc>
      </w:tr>
    </w:tbl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3.3.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4. REQUISITOS DA CONTRATAÇÃO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4.1. Na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a CONTRATADA deve: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a) Fornecer os itens em perfeitas condições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uso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, sem nenhuma avaria que comprometa a sua qualidade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b)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Fornecer os itens conforme a cotação de preços</w:t>
      </w: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c)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realizar a entrega, montagem e instalação dos produtos dentro do prazo determinado, sendo de sua total responsabilidade o custo com a logística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d) Cotar e fornecer produtos de qualidade e que sejam próprios para o uso a que se destinam.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e) Realizar substituição 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produtos que foram entregues danificados no prazo de até 05 dias, se for o caso.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ab/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5. MODELO DE EXECUÇÃO CONTRATUAL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  <w:u w:val="none"/>
        </w:rPr>
        <w:t>5.1. A</w:t>
      </w:r>
      <w:r>
        <w:rPr>
          <w:rFonts w:eastAsia="Times New Roman" w:cs="Times New Roman"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eastAsia="Arial" w:cs="Arial" w:ascii="Verdana" w:hAnsi="Verdana"/>
          <w:b w:val="false"/>
          <w:bCs w:val="false"/>
          <w:iCs/>
          <w:color w:val="auto"/>
          <w:kern w:val="0"/>
          <w:sz w:val="20"/>
          <w:szCs w:val="20"/>
          <w:u w:val="none"/>
          <w:lang w:val="pt-BR" w:eastAsia="pt-BR" w:bidi="ar-SA"/>
        </w:rPr>
        <w:t>entrega/instalação será  em até 15 (quinze) dias após a confirmação de recebimento da autorização de fornecimento emitida pelo Departamento de Compras e Contratos.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5.2. LOCAL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DA ENTREGA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5.2.1. Secretaria de Assistência Social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Rua 14 de maio, nº 54 – Bairro Glória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5.2.2. Gerência do Cadastro Único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Av Maria Celeste Torezani Storch, s/n – Bairro são Vicente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5.2.3. Centro de Referência de Assistência Social – CRAS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Rua Daniel Comboni, nº 787 – Vila Comboni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São Gabriel da Palha/ES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eastAsia="NSimSu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hi-IN"/>
        </w:rPr>
        <w:t>CEP: 29.780-000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5.3. CONTATO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Tel: 27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99975-6571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Email: </w:t>
      </w:r>
      <w:hyperlink r:id="rId2">
        <w:r>
          <w:rPr>
            <w:rStyle w:val="LinkdaInternet"/>
            <w:rFonts w:eastAsia="Times New Roman" w:cs="Arial" w:ascii="Verdana" w:hAnsi="Verdana"/>
            <w:b w:val="false"/>
            <w:bCs w:val="false"/>
            <w:color w:val="auto"/>
            <w:kern w:val="0"/>
            <w:sz w:val="20"/>
            <w:szCs w:val="20"/>
            <w:lang w:val="pt-BR" w:eastAsia="zh-CN" w:bidi="ar-SA"/>
          </w:rPr>
          <w:t>assistenciasgp@gmail.com</w:t>
        </w:r>
      </w:hyperlink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Responsável: 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Assistência, Desenvolvimento Social e Família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508" w:leader="none"/>
        </w:tabs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iCs/>
          <w:sz w:val="20"/>
          <w:szCs w:val="20"/>
        </w:rPr>
        <w:t>5.4</w:t>
      </w:r>
      <w:r>
        <w:rPr>
          <w:rFonts w:cs="Times New Roman" w:ascii="Verdana" w:hAnsi="Verdana"/>
          <w:b/>
          <w:bCs/>
          <w:iCs/>
          <w:sz w:val="20"/>
          <w:szCs w:val="20"/>
        </w:rPr>
        <w:t xml:space="preserve">. </w:t>
      </w:r>
      <w:r>
        <w:rPr>
          <w:rFonts w:cs="Times New Roman" w:ascii="Verdana" w:hAnsi="Verdana"/>
          <w:bCs/>
          <w:iCs/>
          <w:sz w:val="20"/>
          <w:szCs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>
        <w:rPr>
          <w:rFonts w:cs="Times New Roman" w:ascii="Verdana" w:hAnsi="Verdana"/>
          <w:iCs/>
          <w:sz w:val="20"/>
          <w:szCs w:val="20"/>
        </w:rPr>
        <w:t>força</w:t>
      </w:r>
      <w:r>
        <w:rPr>
          <w:rFonts w:cs="Times New Roman" w:ascii="Verdana" w:hAnsi="Verdana"/>
          <w:bCs/>
          <w:iCs/>
          <w:sz w:val="20"/>
          <w:szCs w:val="20"/>
        </w:rPr>
        <w:t xml:space="preserve"> maior.</w:t>
      </w:r>
    </w:p>
    <w:p>
      <w:pPr>
        <w:pStyle w:val="Nivel2"/>
        <w:spacing w:lineRule="auto" w:line="240" w:before="0" w:after="0"/>
        <w:ind w:left="0" w:right="0" w:hanging="0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5.5.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>
      <w:pPr>
        <w:pStyle w:val="Nivel2"/>
        <w:spacing w:lineRule="auto" w:line="240" w:before="0" w:after="0"/>
        <w:ind w:left="0" w:right="0" w:hanging="0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color w:val="auto"/>
          <w:sz w:val="20"/>
          <w:szCs w:val="20"/>
        </w:rPr>
        <w:t>5.6.</w:t>
      </w:r>
      <w:r>
        <w:rPr>
          <w:rFonts w:cs="Times New Roman" w:ascii="Verdana" w:hAnsi="Verdana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>
      <w:pPr>
        <w:pStyle w:val="ListParagraph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5.7.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>
        <w:rPr>
          <w:rFonts w:eastAsia="Times New Roman" w:cs="Times New Roman" w:ascii="Verdana" w:hAnsi="Verdana"/>
          <w:sz w:val="20"/>
          <w:szCs w:val="20"/>
        </w:rPr>
        <w:t>da contratada pelos prejuízos resultantes da incorreta execução do contrato.</w:t>
      </w:r>
    </w:p>
    <w:p>
      <w:pPr>
        <w:pStyle w:val="Nivel2"/>
        <w:tabs>
          <w:tab w:val="clear" w:pos="708"/>
          <w:tab w:val="left" w:pos="508" w:leader="none"/>
        </w:tabs>
        <w:spacing w:lineRule="auto" w:line="240" w:before="0" w:after="0"/>
        <w:ind w:left="0" w:right="0" w:hanging="0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>
      <w:pPr>
        <w:pStyle w:val="Nivel2"/>
        <w:tabs>
          <w:tab w:val="clear" w:pos="708"/>
          <w:tab w:val="left" w:pos="508" w:leader="none"/>
        </w:tabs>
        <w:spacing w:lineRule="auto" w:line="240" w:before="0" w:after="0"/>
        <w:ind w:left="0" w:right="0" w:hanging="0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6.</w:t>
      </w:r>
      <w:r>
        <w:rPr>
          <w:rFonts w:cs="Arial" w:ascii="Verdana" w:hAnsi="Verdana"/>
          <w:b/>
          <w:bCs/>
          <w:sz w:val="20"/>
          <w:szCs w:val="20"/>
        </w:rPr>
        <w:t xml:space="preserve"> DEFINIÇÃO E JUSTIFICATIVA DE CARACTERIZAÇÃO DO OBJETO E PRAZOS DA CONTRATAÇÃO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6.1. </w:t>
      </w:r>
      <w:r>
        <w:rPr>
          <w:rFonts w:cs="Arial" w:ascii="Verdana" w:hAnsi="Verdana"/>
          <w:b w:val="false"/>
          <w:bCs w:val="false"/>
          <w:sz w:val="20"/>
          <w:szCs w:val="20"/>
        </w:rPr>
        <w:t>A especificação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 xml:space="preserve"> dos objetos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contidos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neste Termo de Referência e no ETP,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foram estudadas para atender todas as necessidades apresentadas e é necessária a garantir uma boa qualidade do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serviço prestado, conforme descrito no ETP.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6.2.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O fornecedor deverá entregar o objeto de acordo com as informações contidas neste Termo de Referência e no ETP.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sz w:val="20"/>
          <w:szCs w:val="20"/>
          <w:u w:val="none"/>
          <w:lang w:eastAsia="zh-CN"/>
        </w:rPr>
        <w:t xml:space="preserve">6.3. Não será necessário </w:t>
      </w: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color w:val="auto"/>
          <w:kern w:val="0"/>
          <w:sz w:val="20"/>
          <w:szCs w:val="20"/>
          <w:u w:val="none"/>
          <w:lang w:val="pt-BR" w:eastAsia="zh-CN" w:bidi="ar-SA"/>
        </w:rPr>
        <w:t>a celebração de</w:t>
      </w:r>
      <w:r>
        <w:rPr>
          <w:rFonts w:eastAsia="Times New Roman" w:cs="Arial" w:ascii="Verdana" w:hAnsi="Verdana"/>
          <w:b w:val="false"/>
          <w:bCs w:val="false"/>
          <w:strike w:val="false"/>
          <w:dstrike w:val="false"/>
          <w:sz w:val="20"/>
          <w:szCs w:val="20"/>
          <w:u w:val="none"/>
          <w:lang w:eastAsia="zh-CN"/>
        </w:rPr>
        <w:t xml:space="preserve"> contrato.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7. RESPONSABILIDADES DO CONTRA</w:t>
      </w:r>
      <w:r>
        <w:rPr>
          <w:rFonts w:cs="Arial" w:ascii="Verdana" w:hAnsi="Verdana"/>
          <w:b/>
          <w:bCs/>
          <w:sz w:val="20"/>
          <w:szCs w:val="20"/>
          <w:u w:val="none"/>
        </w:rPr>
        <w:t>TANTE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Averiguar a entrega/instalação do objeto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no prazo e condições estabelecidas neste Termo de Referência e seus anexos.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7.2. Verificar minuciosamente, no prazo fixado, a conformidade dos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serviços presta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provisoriamente com as especificações constantes neste Termo de Referência e da proposta, para fins de aceitação e recebimento definitivo.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entregue, para que seja substituído, reparado ou corrigido.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240" w:before="57" w:after="57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240" w:before="0" w:after="0"/>
        <w:ind w:left="0" w:right="0" w:hanging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presente aquisição,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bem como por qualquer dano causado a terceiros em decorrência de ato da Contratada, de seus empregados, prepostos ou subordinados.</w:t>
      </w:r>
    </w:p>
    <w:p>
      <w:pPr>
        <w:pStyle w:val="Normal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8.2. Efetuar a entrega/execução do objeto/serviço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8.3. Substituir, reparar ou corrigir, às suas expensas, no prazo fixado neste Termo de Referência, o objeto com avarias ou defeitos.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8.4.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Indicar preposto para representá-la.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 nota fiscal deverá ser acompanhada pelas Certidões de Regularidades Fiscais.</w:t>
      </w:r>
      <w:r>
        <w:rPr>
          <w:rFonts w:ascii="Verdana" w:hAnsi="Verdana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8.7. A Contratada deve cumprir todas as obrigações constantes neste TR, seus anexos.</w:t>
      </w:r>
    </w:p>
    <w:p>
      <w:pPr>
        <w:pStyle w:val="Corpodotexto"/>
        <w:spacing w:lineRule="auto" w:line="240" w:before="1" w:after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8.8. Todo o local de montagem deverá ser sinalizado de acordo com as normas de segurança.</w:t>
      </w:r>
    </w:p>
    <w:p>
      <w:pPr>
        <w:pStyle w:val="Corpodotexto"/>
        <w:tabs>
          <w:tab w:val="clear" w:pos="708"/>
          <w:tab w:val="left" w:pos="0" w:leader="none"/>
        </w:tabs>
        <w:spacing w:lineRule="auto" w:line="240" w:before="0" w:after="0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8.9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  <w:u w:val="none"/>
        </w:rPr>
        <w:t>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>
      <w:pPr>
        <w:pStyle w:val="Corpodotexto"/>
        <w:tabs>
          <w:tab w:val="clear" w:pos="708"/>
          <w:tab w:val="left" w:pos="0" w:leader="none"/>
        </w:tabs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57" w:after="57"/>
        <w:ind w:left="0" w:right="0" w:hanging="0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  <w:u w:val="none"/>
        </w:rPr>
        <w:t>9. RESULTADOS PRETENDIDOS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9.1. Os resultados pretendidos com a contratação tem como objetivo garantir melhor comodidade aos usuários e proteção de portas e janelas da incidência de chuva e sol. 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10. </w:t>
      </w:r>
      <w:r>
        <w:rPr>
          <w:rFonts w:cs="Arial" w:ascii="Verdana" w:hAnsi="Verdana"/>
          <w:b/>
          <w:bCs/>
          <w:sz w:val="20"/>
          <w:szCs w:val="20"/>
          <w:shd w:fill="auto" w:val="clear"/>
        </w:rPr>
        <w:t>Da qualificação técnica.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10.2.1. Comprovação de aptidão para desempenho de atividade pertinente e compatível com o objeto desta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aquisição</w:t>
      </w: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10.2.2. Registro da pessoa jurídica (CONTRATADA) nos órgãos competentes e Conselho Regional da classe, se for o caso.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11. DAS SANÇÕES ADMINISTRATIVAS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 total;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o procedimento eletrônica ou a execução do objeto.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o procedimento eletrônica ou praticar ato fraudulento na execução do objeto.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do procedimento, mesmo após o encerramento da fase de lances.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240"/>
        <w:ind w:left="-57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240"/>
        <w:ind w:left="-57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b.1) O valor da multa poderá ser descontado das faturas devidas à CONTRATADA;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b.2) A multa pode ser aplicada isoladamente ou juntamente com as penali</w:t>
      </w:r>
      <w:r>
        <w:rPr>
          <w:rFonts w:ascii="Verdana" w:hAnsi="Verdana"/>
          <w:iCs/>
          <w:sz w:val="20"/>
          <w:szCs w:val="20"/>
        </w:rPr>
        <w:t xml:space="preserve">dades definidas nos itens “c” e “d” abaixo: 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</w:t>
      </w:r>
      <w:r>
        <w:rPr>
          <w:rFonts w:ascii="Verdana" w:hAnsi="Verdana"/>
          <w:iCs/>
          <w:sz w:val="20"/>
          <w:szCs w:val="20"/>
          <w:lang w:eastAsia="en-US"/>
        </w:rPr>
        <w:t>a Lei 14.133/2021 – Das Infrações e Sanções Administrativas.</w:t>
      </w:r>
    </w:p>
    <w:p>
      <w:pPr>
        <w:pStyle w:val="Normal"/>
        <w:spacing w:lineRule="auto" w:line="24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ind w:left="-79" w:right="0" w:hanging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  <w:r>
        <w:rPr>
          <w:rFonts w:ascii="Verdana" w:hAnsi="Verdana"/>
          <w:sz w:val="20"/>
          <w:szCs w:val="20"/>
          <w:lang w:eastAsia="en-US"/>
        </w:rPr>
        <w:t xml:space="preserve"> </w:t>
      </w:r>
    </w:p>
    <w:p>
      <w:pPr>
        <w:pStyle w:val="Normal"/>
        <w:spacing w:lineRule="auto" w:line="240"/>
        <w:ind w:left="-79" w:right="0" w:hanging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b) Cadastro Nacional de Empresas Inidôneas e Suspensas – CEIS, mantido pela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Controladoria-Geral da União (</w:t>
      </w:r>
      <w:hyperlink r:id="rId3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 responsáveis/proibidos-de-contratar/).</w:t>
      </w:r>
    </w:p>
    <w:p>
      <w:pPr>
        <w:pStyle w:val="Normal"/>
        <w:spacing w:lineRule="auto" w:line="24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non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  <w:lang w:eastAsia="ar-SA"/>
        </w:rPr>
        <w:t>);</w:t>
      </w:r>
    </w:p>
    <w:p>
      <w:pPr>
        <w:pStyle w:val="Normal"/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none"/>
        </w:rPr>
        <w:t>12.1.2. A consulta aos cadastros será realizada em nome da empresa licitante e também de seu sócio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12.2..1. </w:t>
      </w:r>
      <w:r>
        <w:rPr>
          <w:rFonts w:cs="Verdana" w:ascii="Verdana" w:hAnsi="Verdana"/>
          <w:sz w:val="20"/>
          <w:szCs w:val="20"/>
          <w:lang w:eastAsia="ar-SA"/>
        </w:rPr>
        <w:t xml:space="preserve">O interessado, para efeitos de habilitação prevista na Instrução Normativa 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12.5. Não serão aceitos documentos de habilitação com indicação de CNPJ/CPF diferentes, salvo aqueles legalmente permitidos.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val="clear" w:fill="FFFFFF"/>
        <w:tabs>
          <w:tab w:val="clear" w:pos="708"/>
          <w:tab w:val="left" w:pos="567" w:leader="none"/>
        </w:tabs>
        <w:spacing w:lineRule="auto" w:line="240" w:before="0" w:after="0"/>
        <w:ind w:left="0" w:right="0" w:hanging="0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12.8. Habilitação jurídica: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 xml:space="preserve">o </w:t>
      </w:r>
      <w:hyperlink r:id="rId7">
        <w:r>
          <w:rPr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12.8.7. No caso de empresa ou sociedade estrangeira em funcionamento no País: decreto de autorização;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12.8.8. </w:t>
      </w:r>
      <w:r>
        <w:rPr>
          <w:rFonts w:cs="Verdana" w:ascii="Verdana" w:hAnsi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>
      <w:pPr>
        <w:pStyle w:val="ListParagraph"/>
        <w:spacing w:lineRule="auto" w:line="240" w:before="57" w:after="57"/>
        <w:ind w:left="0" w:right="0" w:hanging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12.09.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.1.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.2.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57" w:after="57"/>
        <w:ind w:left="-57" w:right="0" w:hanging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</w:t>
      </w:r>
      <w:r>
        <w:rPr>
          <w:rFonts w:eastAsia="Times New Roman" w:cs="Verdana" w:ascii="Verdana" w:hAnsi="Verdana"/>
          <w:b w:val="false"/>
          <w:bCs w:val="false"/>
          <w:color w:val="auto"/>
          <w:kern w:val="0"/>
          <w:sz w:val="20"/>
          <w:szCs w:val="20"/>
          <w:lang w:val="pt-BR" w:eastAsia="pt-BR" w:bidi="ar-SA"/>
        </w:rPr>
        <w:t>9</w:t>
      </w:r>
      <w:r>
        <w:rPr>
          <w:rFonts w:cs="Verdana" w:ascii="Verdana" w:hAnsi="Verdana"/>
          <w:b w:val="false"/>
          <w:bCs w:val="false"/>
          <w:sz w:val="20"/>
          <w:szCs w:val="20"/>
        </w:rPr>
        <w:t>.3.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left="-79" w:right="0" w:hanging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lang w:eastAsia="en-US"/>
        </w:rPr>
        <w:t>12.</w:t>
      </w:r>
      <w:r>
        <w:rPr>
          <w:rFonts w:eastAsia="Times New Roman" w:cs="Verdana" w:ascii="Verdana" w:hAnsi="Verdana"/>
          <w:b w:val="false"/>
          <w:bCs w:val="false"/>
          <w:iCs/>
          <w:color w:val="000000"/>
          <w:kern w:val="0"/>
          <w:sz w:val="20"/>
          <w:szCs w:val="20"/>
          <w:lang w:val="pt-BR" w:eastAsia="en-US" w:bidi="ar-SA"/>
        </w:rPr>
        <w:t>9</w:t>
      </w: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lang w:eastAsia="en-US"/>
        </w:rPr>
        <w:t>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left="-79" w:right="0" w:hanging="0"/>
        <w:jc w:val="both"/>
        <w:rPr>
          <w:rFonts w:ascii="Verdana" w:hAnsi="Verdana" w:cs="Verdana"/>
          <w:b w:val="false"/>
          <w:bCs w:val="false"/>
          <w:iCs/>
          <w:color w:val="000000"/>
          <w:sz w:val="20"/>
          <w:szCs w:val="20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0"/>
          <w:szCs w:val="20"/>
          <w:lang w:eastAsia="en-US"/>
        </w:rPr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13. CRITÉRIOS DE PAGAMENTO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13.1.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240"/>
        <w:ind w:left="-22" w:right="0" w:hanging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240"/>
        <w:ind w:left="-2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240"/>
        <w:ind w:left="43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0" w:leader="none"/>
          <w:tab w:val="left" w:pos="563" w:leader="none"/>
        </w:tabs>
        <w:spacing w:lineRule="auto" w:line="240"/>
        <w:ind w:left="-2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240"/>
        <w:ind w:left="-22" w:right="0" w:hanging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13.5.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LinkdaInternet"/>
          <w:rFonts w:ascii="Verdana" w:hAnsi="Verdana"/>
          <w:b w:val="false"/>
          <w:bCs w:val="false"/>
          <w:sz w:val="20"/>
          <w:szCs w:val="20"/>
          <w:lang w:eastAsia="en-US"/>
        </w:rPr>
        <w:t>.</w:t>
      </w:r>
    </w:p>
    <w:p>
      <w:pPr>
        <w:pStyle w:val="Normal"/>
        <w:spacing w:lineRule="auto" w:line="240"/>
        <w:ind w:left="-2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13.6. O pagamento será efetuado no prazo de até 30 (trinta) dias úteis contados da finalização da liquidação da despesa.</w:t>
      </w:r>
    </w:p>
    <w:p>
      <w:pPr>
        <w:pStyle w:val="Normal"/>
        <w:spacing w:lineRule="auto" w:line="240"/>
        <w:ind w:left="-2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13.7. O pagamento será realizado por meio de ordem bancária, para crédito em banco, agência e conta corrente indicados pelo contratado.</w:t>
      </w:r>
    </w:p>
    <w:p>
      <w:pPr>
        <w:pStyle w:val="Normal"/>
        <w:spacing w:lineRule="auto" w:line="240"/>
        <w:ind w:left="-22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12.8. Será considerada data do pagamento o dia em que constar como emitida a ordem bancária para pagamento.</w:t>
      </w:r>
    </w:p>
    <w:p>
      <w:pPr>
        <w:pStyle w:val="Normal"/>
        <w:spacing w:lineRule="auto" w:line="240"/>
        <w:ind w:left="-79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13.9. Quando do pagamento, será efetuada a retenção tributária prevista na legislação aplicável.</w:t>
      </w:r>
    </w:p>
    <w:p>
      <w:pPr>
        <w:pStyle w:val="Normal"/>
        <w:spacing w:lineRule="auto" w:line="240"/>
        <w:ind w:left="-79" w:right="0" w:hanging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13.10. O contratado regularmente optante pelo Simples Nacional, nos termos da </w:t>
      </w:r>
      <w:hyperlink r:id="rId8">
        <w:r>
          <w:rPr>
            <w:rFonts w:ascii="Verdana" w:hAnsi="Verdana"/>
            <w:b w:val="false"/>
            <w:b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240"/>
        <w:ind w:left="-79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13.11.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 Após o pra</w:t>
      </w:r>
      <w:r>
        <w:rPr>
          <w:rFonts w:ascii="Verdana" w:hAnsi="Verdana"/>
          <w:sz w:val="20"/>
          <w:szCs w:val="20"/>
        </w:rPr>
        <w:t>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jc w:val="center"/>
        <w:rPr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24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rPr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240"/>
        <w:ind w:left="0" w:right="0" w:hanging="0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13.12..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>13.13.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 Qualquer alteração feita no contrato social, ato constitutivo ou estatuto deverá ser ois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u w:val="none"/>
        </w:rPr>
        <w:t xml:space="preserve">13.14.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tabs>
          <w:tab w:val="clear" w:pos="708"/>
          <w:tab w:val="left" w:pos="563" w:leader="none"/>
        </w:tabs>
        <w:spacing w:lineRule="auto" w:line="240"/>
        <w:ind w:left="-22" w:right="0" w:hanging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u w:val="none"/>
        </w:rPr>
        <w:t xml:space="preserve">13.15. 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  <w:lang w:eastAsia="en-US"/>
        </w:rPr>
        <w:t xml:space="preserve">Para a efetivação do pagamento, a CONTRATADA deverá manter as mesmas </w:t>
      </w:r>
      <w:r>
        <w:rPr>
          <w:rFonts w:cs="Arial" w:ascii="Verdana" w:hAnsi="Verdana"/>
          <w:b w:val="false"/>
          <w:bCs w:val="false"/>
          <w:sz w:val="20"/>
          <w:szCs w:val="20"/>
          <w:u w:val="none"/>
          <w:lang w:eastAsia="pt-BR"/>
        </w:rPr>
        <w:t>condições relativas à proposta de preço e a habilitação.</w:t>
      </w:r>
    </w:p>
    <w:p>
      <w:pPr>
        <w:pStyle w:val="Default"/>
        <w:tabs>
          <w:tab w:val="clear" w:pos="708"/>
          <w:tab w:val="left" w:pos="563" w:leader="none"/>
        </w:tabs>
        <w:spacing w:lineRule="auto" w:line="240"/>
        <w:ind w:left="-22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14.1. Não se verifica contratações correlatas ou interdependentes no período.</w:t>
      </w:r>
    </w:p>
    <w:p>
      <w:pPr>
        <w:pStyle w:val="Normal"/>
        <w:widowControl/>
        <w:suppressAutoHyphens w:val="false"/>
        <w:bidi w:val="0"/>
        <w:spacing w:lineRule="auto" w:line="240" w:before="0" w:after="0"/>
        <w:ind w:left="0" w:right="0" w:hanging="0"/>
        <w:jc w:val="both"/>
        <w:rPr>
          <w:rFonts w:ascii="Verdana" w:hAnsi="Verdana" w:eastAsia="Times New Roman" w:cs="Arial"/>
          <w:color w:val="000000"/>
          <w:kern w:val="0"/>
          <w:sz w:val="20"/>
          <w:szCs w:val="20"/>
          <w:lang w:val="pt-BR" w:eastAsia="zh-CN" w:bidi="ar-SA"/>
        </w:rPr>
      </w:pP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zh-CN" w:bidi="ar-SA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15. POSSÍVEIS IMPACTOS AMBIENTAIS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15.1.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DECLARAÇÃO E JUSTIFICATIVA DA VIABILIDADE</w:t>
      </w:r>
    </w:p>
    <w:p>
      <w:pPr>
        <w:pStyle w:val="Normal"/>
        <w:spacing w:lineRule="auto" w:line="24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16.1. Neste sentido, a equipe de planejamento do ETP e de acordo com a autoridade  requerente, declara viável esta contratação, com base nos elementos apresentados neste documento.</w:t>
      </w:r>
    </w:p>
    <w:p>
      <w:pPr>
        <w:pStyle w:val="Normal"/>
        <w:spacing w:lineRule="auto" w:line="240" w:before="0" w:after="0"/>
        <w:jc w:val="right"/>
        <w:rPr>
          <w:rFonts w:ascii="Verdana" w:hAnsi="Verdana" w:cs="Arial"/>
          <w:sz w:val="20"/>
          <w:szCs w:val="20"/>
          <w:shd w:fill="auto" w:val="clear"/>
        </w:rPr>
      </w:pPr>
      <w:r>
        <w:rPr>
          <w:rFonts w:cs="Arial"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17. ADEQUAÇÃO ORÇAMENTÁRIA 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17.1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>
      <w:pPr>
        <w:pStyle w:val="Normal"/>
        <w:spacing w:lineRule="auto" w:line="24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p>
      <w:pPr>
        <w:pStyle w:val="Normal"/>
        <w:numPr>
          <w:ilvl w:val="0"/>
          <w:numId w:val="2"/>
        </w:numPr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  <w:t>FICHA - FONTE 00422-17060000000004 no valor de R$  18.760,97 (dezoito mil setecentos e sessenta reais e noventa e sete centavos);</w:t>
      </w:r>
    </w:p>
    <w:p>
      <w:pPr>
        <w:pStyle w:val="Normal"/>
        <w:numPr>
          <w:ilvl w:val="0"/>
          <w:numId w:val="2"/>
        </w:numPr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  <w:t>FICHA - FONTE 00406-15000000000000 no valor de R$  4.864,08 (quatro mil oitocentos e sessenta e quatro reais e oito centavos), e</w:t>
      </w:r>
    </w:p>
    <w:p>
      <w:pPr>
        <w:pStyle w:val="Normal"/>
        <w:numPr>
          <w:ilvl w:val="0"/>
          <w:numId w:val="2"/>
        </w:numPr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  <w:t>FICHA - FONTE 00442-15000000000000 no valor de R$  3.273,90 (três mil duzentos e setenta e três reais e noventa centavos).</w:t>
      </w:r>
    </w:p>
    <w:p>
      <w:pPr>
        <w:pStyle w:val="Normal"/>
        <w:spacing w:lineRule="auto" w:line="240"/>
        <w:jc w:val="both"/>
        <w:rPr>
          <w:rFonts w:ascii="Verdana" w:hAnsi="Verdana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</w:pP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  <w:t>Totalizando o valor de R$ 26.898,95 (vinte e seis mil oitocentos e noventa e oito reais e noventa e cinco centavos)</w:t>
      </w:r>
    </w:p>
    <w:p>
      <w:pPr>
        <w:pStyle w:val="Normal"/>
        <w:spacing w:lineRule="auto" w:line="240"/>
        <w:jc w:val="both"/>
        <w:rPr>
          <w:rFonts w:ascii="Verdana" w:hAnsi="Verdana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</w:pPr>
      <w:r>
        <w:rPr>
          <w:rFonts w:ascii="Verdana" w:hAnsi="Verdana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18.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bCs/>
          <w:color w:val="000000"/>
          <w:sz w:val="20"/>
          <w:szCs w:val="20"/>
        </w:rPr>
        <w:t>DOS RESPONSÁVEIS PELA ELABORAÇÃO DO TERMO DE REFERÊNCIA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18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</w:r>
    </w:p>
    <w:p>
      <w:pPr>
        <w:pStyle w:val="Normal"/>
        <w:spacing w:lineRule="auto" w:line="240"/>
        <w:jc w:val="right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25</w:t>
      </w:r>
      <w:r>
        <w:rPr>
          <w:rFonts w:ascii="Verdana" w:hAnsi="Verdana"/>
          <w:color w:val="000000"/>
          <w:sz w:val="20"/>
          <w:szCs w:val="20"/>
        </w:rPr>
        <w:t xml:space="preserve"> de junho de 2025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Agente de Serviços Técnicos – Portaria n° 9.965/2025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000406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 w:val="false"/>
          <w:bCs w:val="false"/>
          <w:color w:val="000000"/>
          <w:sz w:val="20"/>
          <w:szCs w:val="20"/>
          <w:u w:val="none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u w:val="none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  <w:bookmarkStart w:id="0" w:name="art122%252525252525252525252525252525252"/>
      <w:bookmarkStart w:id="1" w:name="art122%252525252525252525252525252525251"/>
      <w:bookmarkStart w:id="2" w:name="art122%252525252525252525252525252525253"/>
      <w:bookmarkStart w:id="3" w:name="art122%252525252525252525252525252525254"/>
      <w:bookmarkStart w:id="4" w:name="art122%252525252525252525252525252525255"/>
      <w:bookmarkStart w:id="5" w:name="art122%252525252525252525252525252525256"/>
      <w:bookmarkEnd w:id="0"/>
      <w:bookmarkEnd w:id="1"/>
      <w:bookmarkEnd w:id="2"/>
      <w:bookmarkEnd w:id="3"/>
      <w:bookmarkEnd w:id="4"/>
      <w:bookmarkEnd w:id="5"/>
    </w:p>
    <w:sectPr>
      <w:headerReference w:type="even" r:id="rId9"/>
      <w:headerReference w:type="default" r:id="rId10"/>
      <w:headerReference w:type="first" r:id="rId11"/>
      <w:footerReference w:type="even" r:id="rId12"/>
      <w:footerReference w:type="default" r:id="rId13"/>
      <w:footerReference w:type="first" r:id="rId14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bullet"/>
      <w:lvlText w:val="►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►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4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►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7">
      <w:start w:val="1"/>
      <w:numFmt w:val="bullet"/>
      <w:lvlText w:val="►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val="365F91" w:themeColor="accent1" w:themeShade="bf"/>
      <w:sz w:val="28"/>
      <w:szCs w:val="28"/>
    </w:rPr>
  </w:style>
  <w:style w:type="paragraph" w:styleId="Ttulo4">
    <w:name w:val="Heading 4"/>
    <w:basedOn w:val="Ttulo"/>
    <w:next w:val="Corpodotexto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LinkdaInternet">
    <w:name w:val="Hyperlink"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val="365F91" w:themeColor="accent1" w:themeShade="bf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Linkdainternetvisitado">
    <w:name w:val="FollowedHyperlink"/>
    <w:rPr>
      <w:color w:val="800080"/>
      <w:u w:val="single"/>
    </w:rPr>
  </w:style>
  <w:style w:type="character" w:styleId="WW8Num9z0">
    <w:name w:val="WW8Num9z0"/>
    <w:qFormat/>
    <w:rPr>
      <w:b/>
      <w:bCs/>
    </w:rPr>
  </w:style>
  <w:style w:type="character" w:styleId="WW8Num10z0">
    <w:name w:val="WW8Num10z0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Ttulo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val="000000" w:themeColor="accent1" w:themeShade="bf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left="425" w:hanging="0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Ttulo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val="000000" w:themeColor="accent1" w:themeShade="bf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numbering" w:styleId="Semlista">
    <w:name w:val="Sem lista"/>
    <w:qFormat/>
  </w:style>
  <w:style w:type="numbering" w:styleId="WW8Num10">
    <w:name w:val="WW8Num10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ssistenciasgp@gmail.co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yperlink" Target="https://www.planalto.gov.br/ccivil_03/leis/lcp/lcp123.htm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Application>LibreOffice/7.5.7.1$Windows_X86_64 LibreOffice_project/47eb0cf7efbacdee9b19ae25d6752381ede23126</Application>
  <AppVersion>15.0000</AppVersion>
  <Pages>11</Pages>
  <Words>4397</Words>
  <Characters>24903</Characters>
  <CharactersWithSpaces>29055</CharactersWithSpaces>
  <Paragraphs>303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2025-07-07T14:25:32Z</cp:lastPrinted>
  <dcterms:modified xsi:type="dcterms:W3CDTF">2025-07-07T14:25:55Z</dcterms:modified>
  <cp:revision>165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